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2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ackground w:color="FFFFFF"/>
  <w:body>
    <w:p>
      <w:pPr>
        <w:pStyle w:val="Normal"/>
        <w:rPr>
          <w:rFonts w:cs="Arial Narrow" w:ascii="Arial Narrow" w:hAnsi="Arial Narrow"/>
          <w:b w:val="false"/>
          <w:i w:val="false"/>
          <w:color w:val="333333"/>
          <w:sz w:val="4"/>
          <w:szCs w:val="4"/>
        </w:rPr>
      </w:pPr>
      <w:r>
        <w:rPr>
          <w:rFonts w:cs="Arial Narrow" w:ascii="Arial Narrow" w:hAnsi="Arial Narrow"/>
          <w:b w:val="false"/>
          <w:i w:val="false"/>
          <w:color w:val="333333"/>
          <w:sz w:val="4"/>
          <w:szCs w:val="4"/>
        </w:rPr>
      </w:r>
    </w:p>
    <w:tbl>
      <w:tblPr>
        <w:jc w:val="left"/>
        <w:tblInd w:w="4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40" w:type="dxa"/>
          <w:left w:w="40" w:type="dxa"/>
          <w:bottom w:w="40" w:type="dxa"/>
          <w:right w:w="40" w:type="dxa"/>
        </w:tblCellMar>
      </w:tblPr>
      <w:tblGrid>
        <w:gridCol w:w="4132"/>
        <w:gridCol w:w="9412"/>
        <w:gridCol w:w="178"/>
        <w:gridCol w:w="387"/>
        <w:gridCol w:w="401"/>
        <w:gridCol w:w="399"/>
        <w:gridCol w:w="400"/>
        <w:gridCol w:w="167"/>
      </w:tblGrid>
      <w:tr>
        <w:trPr>
          <w:cantSplit w:val="false"/>
        </w:trPr>
        <w:tc>
          <w:tcPr>
            <w:tcW w:w="4132" w:type="dxa"/>
            <w:vMerge w:val="restart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64" w:before="0" w:after="170"/>
              <w:rPr>
                <w:rFonts w:cs="Arial Narrow" w:ascii="Arial Narrow" w:hAnsi="Arial Narrow"/>
                <w:b w:val="false"/>
                <w:i w:val="false"/>
                <w:color w:val="4C4C4C"/>
                <w:sz w:val="48"/>
                <w:szCs w:val="48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4C4C4C"/>
                <w:sz w:val="48"/>
                <w:szCs w:val="48"/>
              </w:rPr>
              <w:t>14. Hirndominanztest</w:t>
            </w:r>
          </w:p>
          <w:p>
            <w:pPr>
              <w:pStyle w:val="Normal"/>
              <w:spacing w:lineRule="auto" w:line="264" w:before="0" w:after="170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  <w:t>Es ist bekannt, dass Ergebnisse aus Lerntypen-</w:t>
              <w:br/>
              <w:t xml:space="preserve">tests auf Lernstärlen hinweisen – also Antworten </w:t>
              <w:br/>
              <w:t xml:space="preserve">geben auf Fragen nach der Art und Weise, wie </w:t>
              <w:br/>
              <w:t>gelernt werden kann.</w:t>
            </w:r>
          </w:p>
          <w:p>
            <w:pPr>
              <w:pStyle w:val="Normal"/>
              <w:spacing w:lineRule="auto" w:line="264" w:before="0" w:after="170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  <w:t>Für eine erfolgreiche  Gruppenarbeit sind aber</w:t>
              <w:br/>
              <w:t xml:space="preserve">weitere Kenntnisse und Einsichten in die Vielfalt </w:t>
              <w:br/>
              <w:t xml:space="preserve">persönlicher Arbeitsweisen wichtig; einerseits um </w:t>
              <w:br/>
              <w:t xml:space="preserve">eigene Stärken einzubringen und andererseits </w:t>
              <w:br/>
              <w:t>um sich untereinander zu ergänzen.</w:t>
            </w:r>
          </w:p>
          <w:p>
            <w:pPr>
              <w:pStyle w:val="Normal"/>
              <w:spacing w:lineRule="auto" w:line="264" w:before="0" w:after="170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  <w:t>Der hier vorgestellte Test ist einfach, überschau-</w:t>
              <w:br/>
              <w:t xml:space="preserve">bar und leicht durchzuführen, dafür aber nur </w:t>
              <w:br/>
              <w:t>bedingt aussagekräftig. Vergleicht man unter-</w:t>
              <w:br/>
              <w:t>einander die persönlichen Diagramme, kommt</w:t>
              <w:br/>
              <w:t>man schnell ins Gespräch …</w:t>
            </w:r>
          </w:p>
          <w:p>
            <w:pPr>
              <w:pStyle w:val="Normal"/>
              <w:spacing w:lineRule="auto" w:line="264" w:before="0" w:after="170"/>
              <w:rPr/>
            </w:pPr>
            <w:r>
              <w:rPr/>
            </w:r>
          </w:p>
          <w:p>
            <w:pPr>
              <w:pStyle w:val="Normal"/>
              <w:spacing w:lineRule="auto" w:line="264" w:before="0" w:after="170"/>
              <w:rPr/>
            </w:pPr>
            <w:r>
              <w:rPr/>
            </w:r>
          </w:p>
          <w:p>
            <w:pPr>
              <w:pStyle w:val="Normal"/>
              <w:spacing w:lineRule="auto" w:line="264" w:before="0" w:after="170"/>
              <w:rPr/>
            </w:pPr>
            <w:r>
              <w:rPr/>
            </w:r>
          </w:p>
          <w:p>
            <w:pPr>
              <w:pStyle w:val="Normal"/>
              <w:spacing w:lineRule="auto" w:line="264" w:before="0" w:after="170"/>
              <w:rPr/>
            </w:pPr>
            <w:r>
              <w:rPr/>
            </w:r>
          </w:p>
          <w:p>
            <w:pPr>
              <w:pStyle w:val="Normal"/>
              <w:spacing w:lineRule="auto" w:line="264" w:before="0" w:after="170"/>
              <w:rPr/>
            </w:pPr>
            <w:r>
              <w:rPr/>
            </w:r>
          </w:p>
          <w:p>
            <w:pPr>
              <w:pStyle w:val="Normal"/>
              <w:spacing w:lineRule="auto" w:line="264" w:before="0" w:after="170"/>
              <w:rPr/>
            </w:pPr>
            <w:r>
              <w:rPr/>
            </w:r>
          </w:p>
          <w:p>
            <w:pPr>
              <w:pStyle w:val="Normal"/>
              <w:spacing w:lineRule="auto" w:line="264" w:before="0" w:after="170"/>
              <w:rPr/>
            </w:pPr>
            <w:r>
              <w:rPr/>
            </w:r>
          </w:p>
          <w:p>
            <w:pPr>
              <w:pStyle w:val="Normal"/>
              <w:spacing w:lineRule="auto" w:line="264" w:before="0" w:after="170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  <w:t>Folgendermaßen ist vorzugehen:</w:t>
            </w:r>
          </w:p>
          <w:p>
            <w:pPr>
              <w:pStyle w:val="Normal"/>
              <w:spacing w:lineRule="auto" w:line="264" w:before="0" w:after="170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  <w:t>Nebenstehende sechs Fragen müssen hinter-</w:t>
              <w:br/>
              <w:t>einander und zügig bearbeitet werden. Für die</w:t>
              <w:br/>
              <w:t>jeweiligen vier Anworten sind 40 Punkte in</w:t>
              <w:br/>
              <w:t>entsprechender Wichtung zu verteilen.</w:t>
            </w:r>
          </w:p>
          <w:p>
            <w:pPr>
              <w:pStyle w:val="Normal"/>
              <w:spacing w:lineRule="auto" w:line="264" w:before="0" w:after="170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  <w:t>Dann die Punkte spaltenweise addieren und</w:t>
              <w:br/>
              <w:t>die 4 Werte für S, R, E und Z umseitig abtragen.</w:t>
            </w:r>
          </w:p>
        </w:tc>
        <w:tc>
          <w:tcPr>
            <w:tcW w:w="9412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before="0" w:after="113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  <w:t>Verteilen Sie für jede der sechs Fragen 20 Punkte auf die 4 Kästchen: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it-IT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it-IT"/>
              </w:rPr>
            </w:r>
          </w:p>
        </w:tc>
        <w:tc>
          <w:tcPr>
            <w:tcW w:w="387" w:type="dxa"/>
            <w:tcBorders>
              <w:top w:val="nil"/>
              <w:left w:val="nil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it-IT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it-IT"/>
              </w:rPr>
            </w:r>
          </w:p>
        </w:tc>
        <w:tc>
          <w:tcPr>
            <w:tcW w:w="401" w:type="dxa"/>
            <w:tcBorders>
              <w:top w:val="nil"/>
              <w:left w:val="nil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it-IT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it-IT"/>
              </w:rPr>
            </w:r>
          </w:p>
        </w:tc>
        <w:tc>
          <w:tcPr>
            <w:tcW w:w="399" w:type="dxa"/>
            <w:tcBorders>
              <w:top w:val="nil"/>
              <w:left w:val="nil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it-IT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it-IT"/>
              </w:rPr>
            </w:r>
          </w:p>
        </w:tc>
        <w:tc>
          <w:tcPr>
            <w:tcW w:w="400" w:type="dxa"/>
            <w:tcBorders>
              <w:top w:val="nil"/>
              <w:left w:val="nil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167" w:type="dxa"/>
            <w:tcBorders>
              <w:top w:val="nil"/>
              <w:left w:val="nil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4132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64" w:before="0" w:after="170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r>
          </w:p>
        </w:tc>
        <w:tc>
          <w:tcPr>
            <w:tcW w:w="9412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  <w:t>Wenn ich eine Reise unternehmen möchte</w:t>
            </w:r>
          </w:p>
        </w:tc>
        <w:tc>
          <w:tcPr>
            <w:tcW w:w="178" w:type="dxa"/>
            <w:tcBorders>
              <w:top w:val="single" w:sz="2" w:space="0" w:color="808080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387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1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399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0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167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r>
          </w:p>
        </w:tc>
      </w:tr>
      <w:tr>
        <w:trPr>
          <w:trHeight w:val="330" w:hRule="atLeast"/>
          <w:cantSplit w:val="false"/>
        </w:trPr>
        <w:tc>
          <w:tcPr>
            <w:tcW w:w="4132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r>
          </w:p>
        </w:tc>
        <w:tc>
          <w:tcPr>
            <w:tcW w:w="9412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E6E6E6" w:val="clear"/>
            <w:tcMar>
              <w:left w:w="33" w:type="dxa"/>
            </w:tcMar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  <w:t>habe ich Spaß daran, ein Risiko einzugehen und lasse mich überraschen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38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E6E6E6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1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399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0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16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4132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r>
          </w:p>
        </w:tc>
        <w:tc>
          <w:tcPr>
            <w:tcW w:w="9412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  <w:t>informiere ich mich genau über verschiedene Ziele und entscheide mich dann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387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E6E6E6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399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0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16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4132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r>
          </w:p>
        </w:tc>
        <w:tc>
          <w:tcPr>
            <w:tcW w:w="9412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E6E6E6" w:val="clear"/>
            <w:tcMar>
              <w:left w:w="33" w:type="dxa"/>
            </w:tcMar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  <w:t>entscheide ich mich intuitiv für ein Reiseziel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38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1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39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E6E6E6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0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16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4132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r>
          </w:p>
        </w:tc>
        <w:tc>
          <w:tcPr>
            <w:tcW w:w="9412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  <w:t>plane ich im Voraus alle einzelnen Etappen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387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1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39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E6E6E6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16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4132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r>
          </w:p>
        </w:tc>
        <w:tc>
          <w:tcPr>
            <w:tcW w:w="9412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  <w:t>Wenn ich mich in ein neues Thema einarbeite</w:t>
            </w:r>
          </w:p>
        </w:tc>
        <w:tc>
          <w:tcPr>
            <w:tcW w:w="178" w:type="dxa"/>
            <w:tcBorders>
              <w:top w:val="single" w:sz="2" w:space="0" w:color="808080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387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1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399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0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167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4132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r>
          </w:p>
        </w:tc>
        <w:tc>
          <w:tcPr>
            <w:tcW w:w="9412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E6E6E6" w:val="clear"/>
            <w:tcMar>
              <w:left w:w="33" w:type="dxa"/>
            </w:tcMar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  <w:t>beschäftige ich mich Fakten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387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E6E6E6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399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0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16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4132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r>
          </w:p>
        </w:tc>
        <w:tc>
          <w:tcPr>
            <w:tcW w:w="9412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  <w:t>sehe ich die Dinge im Zusammenhang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387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E6E6E6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1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399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0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16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4132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r>
          </w:p>
        </w:tc>
        <w:tc>
          <w:tcPr>
            <w:tcW w:w="9412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E6E6E6" w:val="clear"/>
            <w:tcMar>
              <w:left w:w="33" w:type="dxa"/>
            </w:tcMar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  <w:t>lasse ich mich gerne von anderen anregen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38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1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39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E6E6E6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0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16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4132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r>
          </w:p>
        </w:tc>
        <w:tc>
          <w:tcPr>
            <w:tcW w:w="9412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  <w:t>sorge ich für eine klare präzise Struktur</w:t>
            </w:r>
          </w:p>
        </w:tc>
        <w:tc>
          <w:tcPr>
            <w:tcW w:w="178" w:type="dxa"/>
            <w:tcBorders>
              <w:top w:val="nil"/>
              <w:left w:val="nil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387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1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399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0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E6E6E6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167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4132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r>
          </w:p>
        </w:tc>
        <w:tc>
          <w:tcPr>
            <w:tcW w:w="9412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  <w:t>Beim Arbeiten habe ich am meisten Spaß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387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1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399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0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16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4132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r>
          </w:p>
        </w:tc>
        <w:tc>
          <w:tcPr>
            <w:tcW w:w="9412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E6E6E6" w:val="clear"/>
            <w:tcMar>
              <w:left w:w="33" w:type="dxa"/>
            </w:tcMar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  <w:t>am Ideen finden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38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E6E6E6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eastAsia="Arial Unicode MS" w:cs="Arial Narrow" w:ascii="Arial Narrow" w:hAnsi="Arial Narrow"/>
                <w:b w:val="false"/>
                <w:i/>
                <w:color w:val="008000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/>
                <w:color w:val="008000"/>
                <w:sz w:val="20"/>
                <w:szCs w:val="20"/>
                <w:lang w:val="de-DE" w:eastAsia="zh-CN" w:bidi="hi-IN"/>
              </w:rPr>
            </w:r>
          </w:p>
        </w:tc>
        <w:tc>
          <w:tcPr>
            <w:tcW w:w="401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399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0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16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4132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r>
          </w:p>
        </w:tc>
        <w:tc>
          <w:tcPr>
            <w:tcW w:w="9412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  <w:t>am planen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38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1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399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E6E6E6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16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4132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r>
          </w:p>
        </w:tc>
        <w:tc>
          <w:tcPr>
            <w:tcW w:w="9412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E6E6E6" w:val="clear"/>
            <w:tcMar>
              <w:left w:w="33" w:type="dxa"/>
            </w:tcMar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  <w:t>am miteinander arbeiten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38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1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39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E6E6E6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0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16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4132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r>
          </w:p>
        </w:tc>
        <w:tc>
          <w:tcPr>
            <w:tcW w:w="9412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  <w:t>am analysieren und kritischen Hinterfragen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387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E6E6E6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39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0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167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4132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r>
          </w:p>
        </w:tc>
        <w:tc>
          <w:tcPr>
            <w:tcW w:w="9412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  <w:t>In einer Arbeitsgruppe</w:t>
            </w:r>
          </w:p>
        </w:tc>
        <w:tc>
          <w:tcPr>
            <w:tcW w:w="178" w:type="dxa"/>
            <w:tcBorders>
              <w:top w:val="single" w:sz="2" w:space="0" w:color="808080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387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1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399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0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167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4132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r>
          </w:p>
        </w:tc>
        <w:tc>
          <w:tcPr>
            <w:tcW w:w="9412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E6E6E6" w:val="clear"/>
            <w:tcMar>
              <w:left w:w="33" w:type="dxa"/>
            </w:tcMar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  <w:t>neige ich dazu, den Ton anzugeben und mich durchzusetzen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38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1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399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E6E6E6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16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4132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r>
          </w:p>
        </w:tc>
        <w:tc>
          <w:tcPr>
            <w:tcW w:w="9412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  <w:t>stehe ich neuen Ideen unvoreingenommen gegenüber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38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E6E6E6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1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399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0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16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4132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r>
          </w:p>
        </w:tc>
        <w:tc>
          <w:tcPr>
            <w:tcW w:w="9412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E6E6E6" w:val="clear"/>
            <w:tcMar>
              <w:left w:w="33" w:type="dxa"/>
            </w:tcMar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  <w:t>neige ich dazu, Auseinandersetzungen in Einklang zu bringen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38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1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39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E6E6E6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0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16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4132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r>
          </w:p>
        </w:tc>
        <w:tc>
          <w:tcPr>
            <w:tcW w:w="9412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  <w:t>treffe ich Entscheidungen, die auf vernünftigen Gründen basieren</w:t>
            </w:r>
          </w:p>
        </w:tc>
        <w:tc>
          <w:tcPr>
            <w:tcW w:w="178" w:type="dxa"/>
            <w:tcBorders>
              <w:top w:val="nil"/>
              <w:left w:val="nil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387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E6E6E6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39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0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167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4132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r>
          </w:p>
        </w:tc>
        <w:tc>
          <w:tcPr>
            <w:tcW w:w="9412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  <w:t>Für mich sind Dinge wichtig,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387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1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399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0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16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4132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r>
          </w:p>
        </w:tc>
        <w:tc>
          <w:tcPr>
            <w:tcW w:w="9412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E6E6E6" w:val="clear"/>
            <w:tcMar>
              <w:left w:w="33" w:type="dxa"/>
            </w:tcMar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  <w:t>die praktisch sind und einfach funktionieren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38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1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399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E6E6E6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16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4132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r>
          </w:p>
        </w:tc>
        <w:tc>
          <w:tcPr>
            <w:tcW w:w="9412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  <w:t>die fantasievoll sind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38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E6E6E6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1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399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0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16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4132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r>
          </w:p>
        </w:tc>
        <w:tc>
          <w:tcPr>
            <w:tcW w:w="9412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E6E6E6" w:val="clear"/>
            <w:tcMar>
              <w:left w:w="33" w:type="dxa"/>
            </w:tcMar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  <w:t>die mein Gefühl ansprechen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38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1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39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E6E6E6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0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16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4132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r>
          </w:p>
        </w:tc>
        <w:tc>
          <w:tcPr>
            <w:tcW w:w="9412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  <w:t>die technisch gut ausgeklügelt sind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387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E6E6E6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399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0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167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4132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r>
          </w:p>
        </w:tc>
        <w:tc>
          <w:tcPr>
            <w:tcW w:w="9412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  <w:t>Meine Begabungen liegen eher im</w:t>
            </w:r>
          </w:p>
        </w:tc>
        <w:tc>
          <w:tcPr>
            <w:tcW w:w="178" w:type="dxa"/>
            <w:tcBorders>
              <w:top w:val="single" w:sz="2" w:space="0" w:color="808080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387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1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399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0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167" w:type="dxa"/>
            <w:tcBorders>
              <w:top w:val="single" w:sz="2" w:space="0" w:color="808080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4132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r>
          </w:p>
        </w:tc>
        <w:tc>
          <w:tcPr>
            <w:tcW w:w="9412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E6E6E6" w:val="clear"/>
            <w:tcMar>
              <w:left w:w="33" w:type="dxa"/>
            </w:tcMar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  <w:t>mathematischen Bereich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387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E6E6E6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399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0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16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4132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r>
          </w:p>
        </w:tc>
        <w:tc>
          <w:tcPr>
            <w:tcW w:w="9412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  <w:t>musisch-künstlerischen Bereich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38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E6E6E6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1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399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0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16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4132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r>
          </w:p>
        </w:tc>
        <w:tc>
          <w:tcPr>
            <w:tcW w:w="9412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E6E6E6" w:val="clear"/>
            <w:tcMar>
              <w:left w:w="33" w:type="dxa"/>
            </w:tcMar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  <w:t>zwischenmenschlichen oder kommunikativen Bereich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38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1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399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E6E6E6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0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16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4132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r>
          </w:p>
        </w:tc>
        <w:tc>
          <w:tcPr>
            <w:tcW w:w="9412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  <w:t>organisatorisch, verwaltenden Bereich</w:t>
            </w:r>
          </w:p>
        </w:tc>
        <w:tc>
          <w:tcPr>
            <w:tcW w:w="178" w:type="dxa"/>
            <w:tcBorders>
              <w:top w:val="nil"/>
              <w:left w:val="nil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387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1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399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E6E6E6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167" w:type="dxa"/>
            <w:tcBorders>
              <w:top w:val="nil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4132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r>
          </w:p>
        </w:tc>
        <w:tc>
          <w:tcPr>
            <w:tcW w:w="9412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6"/>
                <w:szCs w:val="6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6"/>
                <w:szCs w:val="6"/>
              </w:rPr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6"/>
                <w:szCs w:val="6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6"/>
                <w:szCs w:val="6"/>
              </w:rPr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6"/>
                <w:szCs w:val="6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6"/>
                <w:szCs w:val="6"/>
              </w:rPr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6"/>
                <w:szCs w:val="6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6"/>
                <w:szCs w:val="6"/>
              </w:rPr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6"/>
                <w:szCs w:val="6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6"/>
                <w:szCs w:val="6"/>
              </w:rPr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6"/>
                <w:szCs w:val="6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6"/>
                <w:szCs w:val="6"/>
              </w:rPr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6"/>
                <w:szCs w:val="6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6"/>
                <w:szCs w:val="6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4132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r>
          </w:p>
        </w:tc>
        <w:tc>
          <w:tcPr>
            <w:tcW w:w="9412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  <w:t>Summen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38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39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4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/>
                <w:color w:val="008000"/>
                <w:sz w:val="20"/>
                <w:szCs w:val="20"/>
              </w:rPr>
            </w:r>
          </w:p>
        </w:tc>
        <w:tc>
          <w:tcPr>
            <w:tcW w:w="16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33" w:type="dxa"/>
            </w:tcMar>
          </w:tcPr>
          <w:p>
            <w:pPr>
              <w:pStyle w:val="Normal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4132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2"/>
                <w:szCs w:val="22"/>
              </w:rPr>
            </w:r>
          </w:p>
        </w:tc>
        <w:tc>
          <w:tcPr>
            <w:tcW w:w="9412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</w:rPr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it-IT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it-IT"/>
              </w:rPr>
              <w:t>S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it-IT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it-IT"/>
              </w:rPr>
              <w:t>R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it-IT"/>
              </w:rPr>
            </w:pPr>
            <w:r>
              <w:rPr>
                <w:rFonts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it-IT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jc w:val="center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  <w:t>Z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0"/>
                <w:szCs w:val="20"/>
                <w:lang w:val="de-DE" w:eastAsia="zh-CN" w:bidi="hi-IN"/>
              </w:rPr>
            </w:r>
          </w:p>
        </w:tc>
      </w:tr>
    </w:tbl>
    <w:p>
      <w:pPr>
        <w:pStyle w:val="Normal"/>
        <w:rPr>
          <w:rFonts w:cs="Arial Narrow" w:ascii="Arial Narrow" w:hAnsi="Arial Narrow"/>
          <w:color w:val="333333"/>
          <w:sz w:val="4"/>
          <w:szCs w:val="4"/>
        </w:rPr>
      </w:pPr>
      <w:r>
        <w:rPr>
          <w:rFonts w:cs="Arial Narrow" w:ascii="Arial Narrow" w:hAnsi="Arial Narrow"/>
          <w:color w:val="333333"/>
          <w:sz w:val="4"/>
          <w:szCs w:val="4"/>
        </w:rPr>
      </w:r>
    </w:p>
    <w:p>
      <w:pPr>
        <w:pStyle w:val="Normal"/>
        <w:pageBreakBefore/>
        <w:rPr>
          <w:rFonts w:cs="Arial Narrow" w:ascii="Arial Narrow" w:hAnsi="Arial Narrow"/>
          <w:color w:val="333333"/>
        </w:rPr>
      </w:pPr>
      <w:r>
        <w:rPr>
          <w:rFonts w:cs="Arial Narrow" w:ascii="Arial Narrow" w:hAnsi="Arial Narrow"/>
          <w:color w:val="333333"/>
        </w:rPr>
      </w:r>
    </w:p>
    <w:tbl>
      <w:tblPr>
        <w:jc w:val="left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3846"/>
        <w:gridCol w:w="10719"/>
      </w:tblGrid>
      <w:tr>
        <w:trPr>
          <w:cantSplit w:val="false"/>
        </w:trPr>
        <w:tc>
          <w:tcPr>
            <w:tcW w:w="384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spacing w:lineRule="auto" w:line="264" w:before="0" w:after="170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2"/>
                <w:szCs w:val="22"/>
                <w:lang w:val="de-DE" w:eastAsia="zh-CN" w:bidi="hi-IN"/>
              </w:rPr>
              <w:t>Aus psychologischen Erkenntnissen leitet</w:t>
              <w:br/>
              <w:t>sich die Vorstellung ab, dass es zwei Paare</w:t>
              <w:br/>
              <w:t>von Richtungen gibt, innerhalb derer sich</w:t>
              <w:br/>
              <w:t>Persönlichkeiten entwickeln können.</w:t>
            </w:r>
          </w:p>
          <w:p>
            <w:pPr>
              <w:pStyle w:val="TabellenInhalt"/>
              <w:spacing w:lineRule="auto" w:line="264" w:before="0" w:after="170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2"/>
                <w:szCs w:val="22"/>
                <w:lang w:val="de-DE" w:eastAsia="zh-CN" w:bidi="hi-IN"/>
              </w:rPr>
              <w:t>Es werden 4 sog. Hirndominanzen unter-</w:t>
              <w:br/>
              <w:t>schieden, die gegensätzlich ausgeprägt</w:t>
              <w:br/>
              <w:t>sind und in einer Gruppe interagiert wird:</w:t>
            </w:r>
          </w:p>
          <w:p>
            <w:pPr>
              <w:pStyle w:val="TabellenInhalt"/>
              <w:spacing w:lineRule="auto" w:line="264" w:before="0" w:after="170"/>
              <w:rPr>
                <w:rFonts w:eastAsia="Arial Unicode MS" w:cs="Arial Narrow" w:ascii="Arial Narrow" w:hAnsi="Arial Narrow"/>
                <w:b w:val="false"/>
                <w:bCs w:val="false"/>
                <w:i w:val="false"/>
                <w:smallCaps/>
                <w:color w:val="333333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 w:val="false"/>
                <w:smallCaps/>
                <w:color w:val="333333"/>
                <w:sz w:val="22"/>
                <w:szCs w:val="22"/>
                <w:lang w:val="de-DE" w:eastAsia="zh-CN" w:bidi="hi-IN"/>
              </w:rPr>
            </w:r>
          </w:p>
          <w:p>
            <w:pPr>
              <w:pStyle w:val="Normal"/>
              <w:spacing w:lineRule="auto" w:line="264" w:before="0" w:after="170"/>
              <w:rPr>
                <w:rFonts w:eastAsia="Arial Unicode MS" w:cs="Arial Narrow" w:ascii="Arial Narrow" w:hAnsi="Arial Narrow"/>
                <w:b w:val="false"/>
                <w:bCs w:val="false"/>
                <w:i w:val="false"/>
                <w:smallCaps/>
                <w:color w:val="4C4C4C"/>
                <w:sz w:val="52"/>
                <w:szCs w:val="5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 w:val="false"/>
                <w:smallCaps/>
                <w:color w:val="4C4C4C"/>
                <w:sz w:val="52"/>
                <w:szCs w:val="52"/>
                <w:lang w:val="de-DE" w:eastAsia="zh-CN" w:bidi="hi-IN"/>
              </w:rPr>
              <w:t>S – schöpferisch</w:t>
            </w:r>
          </w:p>
          <w:p>
            <w:pPr>
              <w:pStyle w:val="Normal"/>
              <w:spacing w:lineRule="auto" w:line="264" w:before="0" w:after="170"/>
              <w:rPr>
                <w:rFonts w:eastAsia="Arial Unicode MS" w:cs="Arial Narrow" w:ascii="Arial Narrow" w:hAnsi="Arial Narrow"/>
                <w:b w:val="false"/>
                <w:bCs w:val="false"/>
                <w:i w:val="false"/>
                <w:smallCaps/>
                <w:color w:val="4C4C4C"/>
                <w:sz w:val="52"/>
                <w:szCs w:val="5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 w:val="false"/>
                <w:smallCaps/>
                <w:color w:val="4C4C4C"/>
                <w:sz w:val="52"/>
                <w:szCs w:val="52"/>
                <w:lang w:val="de-DE" w:eastAsia="zh-CN" w:bidi="hi-IN"/>
              </w:rPr>
              <w:t>R – rational</w:t>
            </w:r>
          </w:p>
          <w:p>
            <w:pPr>
              <w:pStyle w:val="Normal"/>
              <w:spacing w:lineRule="auto" w:line="264" w:before="0" w:after="170"/>
              <w:rPr>
                <w:rFonts w:eastAsia="Arial Unicode MS" w:cs="Arial Narrow" w:ascii="Arial Narrow" w:hAnsi="Arial Narrow"/>
                <w:b w:val="false"/>
                <w:bCs w:val="false"/>
                <w:i w:val="false"/>
                <w:smallCaps/>
                <w:color w:val="4C4C4C"/>
                <w:sz w:val="52"/>
                <w:szCs w:val="5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 w:val="false"/>
                <w:smallCaps/>
                <w:color w:val="4C4C4C"/>
                <w:sz w:val="52"/>
                <w:szCs w:val="52"/>
                <w:lang w:val="de-DE" w:eastAsia="zh-CN" w:bidi="hi-IN"/>
              </w:rPr>
              <w:t>E – emotional</w:t>
            </w:r>
          </w:p>
          <w:p>
            <w:pPr>
              <w:pStyle w:val="Normal"/>
              <w:spacing w:lineRule="auto" w:line="264" w:before="0" w:after="170"/>
              <w:rPr>
                <w:rFonts w:eastAsia="Arial Unicode MS" w:cs="Arial Narrow" w:ascii="Arial Narrow" w:hAnsi="Arial Narrow"/>
                <w:b w:val="false"/>
                <w:bCs w:val="false"/>
                <w:i w:val="false"/>
                <w:smallCaps/>
                <w:color w:val="4C4C4C"/>
                <w:sz w:val="52"/>
                <w:szCs w:val="5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 w:val="false"/>
                <w:smallCaps/>
                <w:color w:val="4C4C4C"/>
                <w:sz w:val="52"/>
                <w:szCs w:val="52"/>
                <w:lang w:val="de-DE" w:eastAsia="zh-CN" w:bidi="hi-IN"/>
              </w:rPr>
              <w:t>Z – zuverlässig</w:t>
            </w:r>
          </w:p>
          <w:p>
            <w:pPr>
              <w:pStyle w:val="Normal"/>
              <w:spacing w:lineRule="auto" w:line="264" w:before="0" w:after="170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2"/>
                <w:szCs w:val="22"/>
                <w:lang w:val="de-DE" w:eastAsia="zh-CN" w:bidi="hi-IN"/>
              </w:rPr>
            </w:r>
          </w:p>
          <w:p>
            <w:pPr>
              <w:pStyle w:val="Normal"/>
              <w:spacing w:lineRule="auto" w:line="264" w:before="0" w:after="170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2"/>
                <w:szCs w:val="22"/>
                <w:lang w:val="de-DE" w:eastAsia="zh-CN" w:bidi="hi-IN"/>
              </w:rPr>
            </w:r>
          </w:p>
          <w:p>
            <w:pPr>
              <w:pStyle w:val="Normal"/>
              <w:spacing w:lineRule="auto" w:line="264" w:before="0" w:after="170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2"/>
                <w:szCs w:val="22"/>
                <w:lang w:val="de-DE" w:eastAsia="zh-CN" w:bidi="hi-IN"/>
              </w:rPr>
            </w:r>
          </w:p>
          <w:p>
            <w:pPr>
              <w:pStyle w:val="Normal"/>
              <w:spacing w:lineRule="auto" w:line="264" w:before="0" w:after="170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2"/>
                <w:szCs w:val="22"/>
                <w:lang w:val="de-DE" w:eastAsia="zh-CN" w:bidi="hi-IN"/>
              </w:rPr>
            </w:r>
          </w:p>
          <w:p>
            <w:pPr>
              <w:pStyle w:val="Normal"/>
              <w:spacing w:lineRule="auto" w:line="264" w:before="0" w:after="170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2"/>
                <w:szCs w:val="22"/>
                <w:lang w:val="de-DE" w:eastAsia="zh-CN" w:bidi="hi-IN"/>
              </w:rPr>
            </w:r>
          </w:p>
          <w:p>
            <w:pPr>
              <w:pStyle w:val="Normal"/>
              <w:spacing w:lineRule="auto" w:line="264" w:before="0" w:after="170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2"/>
                <w:szCs w:val="22"/>
                <w:lang w:val="de-DE" w:eastAsia="zh-CN" w:bidi="hi-IN"/>
              </w:rPr>
            </w:r>
          </w:p>
          <w:p>
            <w:pPr>
              <w:pStyle w:val="Normal"/>
              <w:spacing w:lineRule="auto" w:line="264" w:before="0" w:after="170"/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olor w:val="333333"/>
                <w:sz w:val="22"/>
                <w:szCs w:val="22"/>
                <w:lang w:val="de-DE" w:eastAsia="zh-CN" w:bidi="hi-IN"/>
              </w:rPr>
              <w:t>Bei einer Gruppenbildung kann man berücksichtigen, dass die Hirndominanzen</w:t>
              <w:br/>
              <w:t>aller in einer Gruppe Versammelten gleich-</w:t>
              <w:br/>
              <w:t>mäßig verteilt sind und dass jeder Aufgaben</w:t>
              <w:br/>
              <w:t>innerhalb seiner Stärken bekommt.</w:t>
            </w:r>
          </w:p>
        </w:tc>
        <w:tc>
          <w:tcPr>
            <w:tcW w:w="10719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-2" w:type="dxa"/>
            </w:tcMar>
            <w:vAlign w:val="center"/>
          </w:tcPr>
          <w:p>
            <w:pPr>
              <w:pStyle w:val="TabellenInhalt"/>
              <w:jc w:val="center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drawing>
                <wp:anchor behindDoc="0" distT="0" distB="0" distL="0" distR="0" simplePos="0" locked="0" layoutInCell="1" allowOverlap="1" relativeHeight="0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6807200" cy="6139180"/>
                  <wp:effectExtent l="0" t="0" r="0" b="0"/>
                  <wp:wrapSquare wrapText="largest"/>
                  <wp:docPr id="0" name="Picture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7200" cy="6139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orient="landscape" w:w="16838" w:h="11906"/>
      <w:pgMar w:left="567" w:right="822" w:header="0" w:top="567" w:footer="0" w:bottom="56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kkurat-Light">
    <w:charset w:val="01"/>
    <w:family w:val="auto"/>
    <w:pitch w:val="default"/>
  </w:font>
  <w:font w:name="Arial Narrow"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32"/>
  <w:displayBackgroundShape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Akkurat-Light" w:hAnsi="Akkurat-Light" w:eastAsia="Arial Unicode MS" w:cs="Lucida Sans"/>
        <w:sz w:val="22"/>
        <w:szCs w:val="24"/>
        <w:lang w:val="de-DE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  <w:overflowPunct w:val="true"/>
      <w:bidi w:val="0"/>
      <w:jc w:val="left"/>
    </w:pPr>
    <w:rPr>
      <w:rFonts w:ascii="Akkurat-Light" w:hAnsi="Akkurat-Light" w:eastAsia="Arial Unicode MS" w:cs="Lucida Sans"/>
      <w:color w:val="00000A"/>
      <w:sz w:val="22"/>
      <w:szCs w:val="24"/>
      <w:lang w:val="de-DE" w:eastAsia="zh-CN" w:bidi="hi-IN"/>
    </w:rPr>
  </w:style>
  <w:style w:type="paragraph" w:styleId="Berschrift">
    <w:name w:val="Überschrift"/>
    <w:basedOn w:val="Normal"/>
    <w:next w:val="Textkrper"/>
    <w:pPr>
      <w:keepNext/>
      <w:spacing w:before="240" w:after="120"/>
    </w:pPr>
    <w:rPr>
      <w:rFonts w:ascii="Akkurat-Light" w:hAnsi="Akkurat-Light" w:eastAsia="Arial Unicode MS" w:cs="Lucida Sans"/>
      <w:sz w:val="22"/>
      <w:szCs w:val="28"/>
    </w:rPr>
  </w:style>
  <w:style w:type="paragraph" w:styleId="Textkrper">
    <w:name w:val="Textkörper"/>
    <w:basedOn w:val="Normal"/>
    <w:pPr>
      <w:spacing w:lineRule="auto" w:line="288" w:before="0" w:after="140"/>
    </w:pPr>
    <w:rPr/>
  </w:style>
  <w:style w:type="paragraph" w:styleId="Liste">
    <w:name w:val="Liste"/>
    <w:basedOn w:val="Textkrper"/>
    <w:pPr/>
    <w:rPr>
      <w:rFonts w:ascii="Akkurat-Light" w:hAnsi="Akkurat-Light" w:cs="Lucida Sans"/>
    </w:rPr>
  </w:style>
  <w:style w:type="paragraph" w:styleId="Beschriftung">
    <w:name w:val="Beschriftung"/>
    <w:basedOn w:val="Normal"/>
    <w:pPr>
      <w:suppressLineNumbers/>
      <w:spacing w:before="120" w:after="120"/>
    </w:pPr>
    <w:rPr>
      <w:rFonts w:ascii="Akkurat-Light" w:hAnsi="Akkurat-Light" w:cs="Lucida Sans"/>
      <w:i/>
      <w:iCs/>
      <w:sz w:val="22"/>
      <w:szCs w:val="24"/>
    </w:rPr>
  </w:style>
  <w:style w:type="paragraph" w:styleId="Verzeichnis">
    <w:name w:val="Verzeichnis"/>
    <w:basedOn w:val="Normal"/>
    <w:pPr>
      <w:suppressLineNumbers/>
    </w:pPr>
    <w:rPr>
      <w:rFonts w:ascii="Akkurat-Light" w:hAnsi="Akkurat-Light" w:cs="Lucida Sans"/>
    </w:rPr>
  </w:style>
  <w:style w:type="paragraph" w:styleId="TabellenInhalt">
    <w:name w:val="Tabellen Inhalt"/>
    <w:basedOn w:val="Normal"/>
    <w:pPr>
      <w:suppressLineNumbers/>
    </w:pPr>
    <w:rPr/>
  </w:style>
  <w:style w:type="paragraph" w:styleId="Tabellenberschrift">
    <w:name w:val="Tabellen Überschrift"/>
    <w:basedOn w:val="TabellenInhalt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2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988304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2016-02-10T15:26:34Z</dcterms:created>
  <dc:language>de-DE</dc:language>
  <cp:lastPrinted>2016-02-10T15:41:00Z</cp:lastPrinted>
  <cp:revision>0</cp:revision>
</cp:coreProperties>
</file>